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ADC2C" w14:textId="2CB961FC" w:rsidR="006256D3" w:rsidRPr="00D6100F" w:rsidRDefault="00D6100F" w:rsidP="00D6100F">
      <w:pPr>
        <w:jc w:val="center"/>
        <w:rPr>
          <w:rFonts w:ascii="Gill Sans MT" w:hAnsi="Gill Sans MT"/>
          <w:b/>
          <w:sz w:val="28"/>
          <w:szCs w:val="28"/>
        </w:rPr>
      </w:pPr>
      <w:r w:rsidRPr="00F379B1">
        <w:rPr>
          <w:rFonts w:ascii="Gill Sans MT" w:hAnsi="Gill Sans MT"/>
          <w:b/>
          <w:noProof/>
          <w:sz w:val="28"/>
          <w:szCs w:val="28"/>
          <w:lang w:eastAsia="en-GB"/>
        </w:rPr>
        <w:drawing>
          <wp:inline distT="0" distB="0" distL="0" distR="0" wp14:anchorId="0024A9A0" wp14:editId="6B8FD38E">
            <wp:extent cx="3429000" cy="889000"/>
            <wp:effectExtent l="0" t="0" r="0" b="0"/>
            <wp:docPr id="1" name="Picture 1" descr="ChurchLogobl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hurchLogoblk"/>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29000" cy="889000"/>
                    </a:xfrm>
                    <a:prstGeom prst="rect">
                      <a:avLst/>
                    </a:prstGeom>
                    <a:noFill/>
                    <a:ln>
                      <a:noFill/>
                    </a:ln>
                  </pic:spPr>
                </pic:pic>
              </a:graphicData>
            </a:graphic>
          </wp:inline>
        </w:drawing>
      </w:r>
    </w:p>
    <w:tbl>
      <w:tblPr>
        <w:tblStyle w:val="TableGrid"/>
        <w:tblW w:w="0" w:type="auto"/>
        <w:jc w:val="center"/>
        <w:tblBorders>
          <w:top w:val="none" w:sz="0" w:space="0" w:color="auto"/>
          <w:left w:val="none" w:sz="0" w:space="0" w:color="auto"/>
          <w:bottom w:val="thinThickSmallGap" w:sz="24"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6256D3" w:rsidRPr="006256D3" w14:paraId="38F3C487" w14:textId="77777777" w:rsidTr="00D84B7C">
        <w:trPr>
          <w:jc w:val="center"/>
        </w:trPr>
        <w:tc>
          <w:tcPr>
            <w:tcW w:w="9026" w:type="dxa"/>
          </w:tcPr>
          <w:p w14:paraId="020FF341" w14:textId="3FA1F582" w:rsidR="006256D3" w:rsidRPr="006256D3" w:rsidRDefault="006256D3" w:rsidP="006256D3">
            <w:pPr>
              <w:jc w:val="center"/>
              <w:rPr>
                <w:sz w:val="32"/>
                <w:szCs w:val="32"/>
              </w:rPr>
            </w:pPr>
            <w:r w:rsidRPr="006256D3">
              <w:rPr>
                <w:sz w:val="32"/>
                <w:szCs w:val="32"/>
              </w:rPr>
              <w:t>PROTOCOLS FOR READER MINISTRY WITH RESPECT TO FUNERALS</w:t>
            </w:r>
          </w:p>
        </w:tc>
      </w:tr>
    </w:tbl>
    <w:p w14:paraId="7AC7468F" w14:textId="77777777" w:rsidR="00C84AF6" w:rsidRDefault="00C84AF6" w:rsidP="00EA0633">
      <w:pPr>
        <w:spacing w:after="0" w:line="240" w:lineRule="auto"/>
      </w:pPr>
    </w:p>
    <w:p w14:paraId="171498F6" w14:textId="77777777" w:rsidR="00150A94" w:rsidRDefault="00150A94" w:rsidP="00EA0633">
      <w:pPr>
        <w:spacing w:after="0" w:line="240" w:lineRule="auto"/>
      </w:pPr>
    </w:p>
    <w:p w14:paraId="6D25868C" w14:textId="1BC1FA1A" w:rsidR="00BE21DA" w:rsidRPr="004E67C9" w:rsidRDefault="006256D3" w:rsidP="004E67C9">
      <w:pPr>
        <w:pStyle w:val="ListParagraph"/>
        <w:numPr>
          <w:ilvl w:val="0"/>
          <w:numId w:val="3"/>
        </w:numPr>
        <w:spacing w:after="0" w:line="240" w:lineRule="auto"/>
        <w:ind w:left="284"/>
        <w:jc w:val="both"/>
        <w:rPr>
          <w:rFonts w:ascii="Calibri Light" w:hAnsi="Calibri Light" w:cs="Calibri Light"/>
          <w:sz w:val="24"/>
          <w:szCs w:val="24"/>
        </w:rPr>
      </w:pPr>
      <w:r>
        <w:rPr>
          <w:rFonts w:ascii="Calibri Light" w:hAnsi="Calibri Light" w:cs="Calibri Light"/>
          <w:sz w:val="24"/>
          <w:szCs w:val="24"/>
        </w:rPr>
        <w:t>The bench</w:t>
      </w:r>
      <w:r w:rsidR="00BE21DA" w:rsidRPr="004E67C9">
        <w:rPr>
          <w:rFonts w:ascii="Calibri Light" w:hAnsi="Calibri Light" w:cs="Calibri Light"/>
          <w:sz w:val="24"/>
          <w:szCs w:val="24"/>
        </w:rPr>
        <w:t xml:space="preserve"> </w:t>
      </w:r>
      <w:proofErr w:type="gramStart"/>
      <w:r w:rsidR="00BE21DA" w:rsidRPr="004E67C9">
        <w:rPr>
          <w:rFonts w:ascii="Calibri Light" w:hAnsi="Calibri Light" w:cs="Calibri Light"/>
          <w:sz w:val="24"/>
          <w:szCs w:val="24"/>
        </w:rPr>
        <w:t>wish</w:t>
      </w:r>
      <w:proofErr w:type="gramEnd"/>
      <w:r w:rsidR="00BE21DA" w:rsidRPr="004E67C9">
        <w:rPr>
          <w:rFonts w:ascii="Calibri Light" w:hAnsi="Calibri Light" w:cs="Calibri Light"/>
          <w:sz w:val="24"/>
          <w:szCs w:val="24"/>
        </w:rPr>
        <w:t xml:space="preserve"> to affirm and promote the ministry of Readers, within the wider category of Licensed Lay Ministers.  However, </w:t>
      </w:r>
      <w:r>
        <w:rPr>
          <w:rFonts w:ascii="Calibri Light" w:hAnsi="Calibri Light" w:cs="Calibri Light"/>
          <w:sz w:val="24"/>
          <w:szCs w:val="24"/>
        </w:rPr>
        <w:t>certain confusions</w:t>
      </w:r>
      <w:r w:rsidR="00BE21DA" w:rsidRPr="004E67C9">
        <w:rPr>
          <w:rFonts w:ascii="Calibri Light" w:hAnsi="Calibri Light" w:cs="Calibri Light"/>
          <w:sz w:val="24"/>
          <w:szCs w:val="24"/>
        </w:rPr>
        <w:t xml:space="preserve"> seem to have developed about the conduct of funeral services, and </w:t>
      </w:r>
      <w:r>
        <w:rPr>
          <w:rFonts w:ascii="Calibri Light" w:hAnsi="Calibri Light" w:cs="Calibri Light"/>
          <w:sz w:val="24"/>
          <w:szCs w:val="24"/>
        </w:rPr>
        <w:t>the bench has decided</w:t>
      </w:r>
      <w:r w:rsidR="00BE21DA" w:rsidRPr="004E67C9">
        <w:rPr>
          <w:rFonts w:ascii="Calibri Light" w:hAnsi="Calibri Light" w:cs="Calibri Light"/>
          <w:sz w:val="24"/>
          <w:szCs w:val="24"/>
        </w:rPr>
        <w:t xml:space="preserve"> to lay out clearly the protocols and parameters of such ministry.</w:t>
      </w:r>
    </w:p>
    <w:p w14:paraId="22DCA349" w14:textId="77777777" w:rsidR="00BE21DA" w:rsidRDefault="00BE21DA" w:rsidP="004E67C9">
      <w:pPr>
        <w:spacing w:after="0" w:line="240" w:lineRule="auto"/>
        <w:ind w:left="284"/>
        <w:jc w:val="both"/>
        <w:rPr>
          <w:rFonts w:ascii="Calibri Light" w:hAnsi="Calibri Light" w:cs="Calibri Light"/>
          <w:sz w:val="24"/>
          <w:szCs w:val="24"/>
        </w:rPr>
      </w:pPr>
    </w:p>
    <w:p w14:paraId="571248D9" w14:textId="0AC35816" w:rsidR="00BE21DA" w:rsidRPr="004E67C9" w:rsidRDefault="00BE21DA" w:rsidP="004E67C9">
      <w:pPr>
        <w:pStyle w:val="ListParagraph"/>
        <w:numPr>
          <w:ilvl w:val="0"/>
          <w:numId w:val="3"/>
        </w:numPr>
        <w:spacing w:after="0" w:line="240" w:lineRule="auto"/>
        <w:ind w:left="284"/>
        <w:jc w:val="both"/>
        <w:rPr>
          <w:rFonts w:ascii="Calibri Light" w:hAnsi="Calibri Light" w:cs="Calibri Light"/>
          <w:sz w:val="24"/>
          <w:szCs w:val="24"/>
        </w:rPr>
      </w:pPr>
      <w:r w:rsidRPr="004E67C9">
        <w:rPr>
          <w:rFonts w:ascii="Calibri Light" w:hAnsi="Calibri Light" w:cs="Calibri Light"/>
          <w:sz w:val="24"/>
          <w:szCs w:val="24"/>
        </w:rPr>
        <w:t xml:space="preserve">Unlike </w:t>
      </w:r>
      <w:r w:rsidR="006256D3">
        <w:rPr>
          <w:rFonts w:ascii="Calibri Light" w:hAnsi="Calibri Light" w:cs="Calibri Light"/>
          <w:sz w:val="24"/>
          <w:szCs w:val="24"/>
        </w:rPr>
        <w:t xml:space="preserve">widespread practice in </w:t>
      </w:r>
      <w:r w:rsidRPr="004E67C9">
        <w:rPr>
          <w:rFonts w:ascii="Calibri Light" w:hAnsi="Calibri Light" w:cs="Calibri Light"/>
          <w:sz w:val="24"/>
          <w:szCs w:val="24"/>
        </w:rPr>
        <w:t>the Church of England, Readers in the Church in Wales are not automatically authorised to conduct funeral services.  Readers may conduct funerals where the appropriate faculty has been appended to their licence</w:t>
      </w:r>
      <w:r w:rsidR="006256D3">
        <w:rPr>
          <w:rFonts w:ascii="Calibri Light" w:hAnsi="Calibri Light" w:cs="Calibri Light"/>
          <w:sz w:val="24"/>
          <w:szCs w:val="24"/>
        </w:rPr>
        <w:t xml:space="preserve"> or Permission to Officiate (PTO)</w:t>
      </w:r>
      <w:r w:rsidRPr="004E67C9">
        <w:rPr>
          <w:rFonts w:ascii="Calibri Light" w:hAnsi="Calibri Light" w:cs="Calibri Light"/>
          <w:sz w:val="24"/>
          <w:szCs w:val="24"/>
        </w:rPr>
        <w:t xml:space="preserve">.  Such a faculty will be issued upon request and the satisfactory completion of appropriate training which will be certified by the diocesan </w:t>
      </w:r>
      <w:r w:rsidR="006256D3">
        <w:rPr>
          <w:rFonts w:ascii="Calibri Light" w:hAnsi="Calibri Light" w:cs="Calibri Light"/>
          <w:sz w:val="24"/>
          <w:szCs w:val="24"/>
        </w:rPr>
        <w:t>o</w:t>
      </w:r>
      <w:r w:rsidRPr="004E67C9">
        <w:rPr>
          <w:rFonts w:ascii="Calibri Light" w:hAnsi="Calibri Light" w:cs="Calibri Light"/>
          <w:sz w:val="24"/>
          <w:szCs w:val="24"/>
        </w:rPr>
        <w:t>fficer</w:t>
      </w:r>
      <w:r w:rsidR="006256D3">
        <w:rPr>
          <w:rFonts w:ascii="Calibri Light" w:hAnsi="Calibri Light" w:cs="Calibri Light"/>
          <w:sz w:val="24"/>
          <w:szCs w:val="24"/>
        </w:rPr>
        <w:t xml:space="preserve"> responsible for lay licensed ministry</w:t>
      </w:r>
      <w:r w:rsidRPr="004E67C9">
        <w:rPr>
          <w:rFonts w:ascii="Calibri Light" w:hAnsi="Calibri Light" w:cs="Calibri Light"/>
          <w:sz w:val="24"/>
          <w:szCs w:val="24"/>
        </w:rPr>
        <w:t>.</w:t>
      </w:r>
    </w:p>
    <w:p w14:paraId="36582751" w14:textId="77777777" w:rsidR="00BE21DA" w:rsidRDefault="00BE21DA" w:rsidP="004E67C9">
      <w:pPr>
        <w:spacing w:after="0" w:line="240" w:lineRule="auto"/>
        <w:ind w:left="284"/>
        <w:jc w:val="both"/>
        <w:rPr>
          <w:rFonts w:ascii="Calibri Light" w:hAnsi="Calibri Light" w:cs="Calibri Light"/>
          <w:sz w:val="24"/>
          <w:szCs w:val="24"/>
        </w:rPr>
      </w:pPr>
    </w:p>
    <w:p w14:paraId="0283C154" w14:textId="43B4E509" w:rsidR="00BE21DA" w:rsidRPr="004E67C9" w:rsidRDefault="00BE21DA" w:rsidP="004E67C9">
      <w:pPr>
        <w:pStyle w:val="ListParagraph"/>
        <w:numPr>
          <w:ilvl w:val="0"/>
          <w:numId w:val="3"/>
        </w:numPr>
        <w:spacing w:after="0" w:line="240" w:lineRule="auto"/>
        <w:ind w:left="284"/>
        <w:jc w:val="both"/>
        <w:rPr>
          <w:rFonts w:ascii="Calibri Light" w:hAnsi="Calibri Light" w:cs="Calibri Light"/>
          <w:sz w:val="24"/>
          <w:szCs w:val="24"/>
        </w:rPr>
      </w:pPr>
      <w:r w:rsidRPr="004E67C9">
        <w:rPr>
          <w:rFonts w:ascii="Calibri Light" w:hAnsi="Calibri Light" w:cs="Calibri Light"/>
          <w:sz w:val="24"/>
          <w:szCs w:val="24"/>
        </w:rPr>
        <w:t xml:space="preserve">The faculty indicates that </w:t>
      </w:r>
      <w:r w:rsidR="00150A94" w:rsidRPr="004E67C9">
        <w:rPr>
          <w:rFonts w:ascii="Calibri Light" w:hAnsi="Calibri Light" w:cs="Calibri Light"/>
          <w:sz w:val="24"/>
          <w:szCs w:val="24"/>
        </w:rPr>
        <w:t>permission i</w:t>
      </w:r>
      <w:r w:rsidR="004E67C9">
        <w:rPr>
          <w:rFonts w:ascii="Calibri Light" w:hAnsi="Calibri Light" w:cs="Calibri Light"/>
          <w:sz w:val="24"/>
          <w:szCs w:val="24"/>
        </w:rPr>
        <w:t>s</w:t>
      </w:r>
      <w:r w:rsidR="00150A94" w:rsidRPr="004E67C9">
        <w:rPr>
          <w:rFonts w:ascii="Calibri Light" w:hAnsi="Calibri Light" w:cs="Calibri Light"/>
          <w:sz w:val="24"/>
          <w:szCs w:val="24"/>
        </w:rPr>
        <w:t xml:space="preserve"> given for a Reader to conduct funerals “subject to the invitation of the relevant priest or Mission</w:t>
      </w:r>
      <w:r w:rsidR="006256D3">
        <w:rPr>
          <w:rFonts w:ascii="Calibri Light" w:hAnsi="Calibri Light" w:cs="Calibri Light"/>
          <w:sz w:val="24"/>
          <w:szCs w:val="24"/>
        </w:rPr>
        <w:t>/Ministry</w:t>
      </w:r>
      <w:r w:rsidR="00150A94" w:rsidRPr="004E67C9">
        <w:rPr>
          <w:rFonts w:ascii="Calibri Light" w:hAnsi="Calibri Light" w:cs="Calibri Light"/>
          <w:sz w:val="24"/>
          <w:szCs w:val="24"/>
        </w:rPr>
        <w:t xml:space="preserve"> Area Leader.”  The granting of the faculty is not blanket permission to exercise and develop an independent funeral ministry, and indeed, might be withdrawn if not exercised in accordance with the terms of the faculty.</w:t>
      </w:r>
    </w:p>
    <w:p w14:paraId="68787D0F" w14:textId="77777777" w:rsidR="00BE21DA" w:rsidRDefault="00BE21DA" w:rsidP="004E67C9">
      <w:pPr>
        <w:spacing w:after="0" w:line="240" w:lineRule="auto"/>
        <w:ind w:left="284"/>
        <w:jc w:val="both"/>
        <w:rPr>
          <w:rFonts w:ascii="Calibri Light" w:hAnsi="Calibri Light" w:cs="Calibri Light"/>
          <w:sz w:val="24"/>
          <w:szCs w:val="24"/>
        </w:rPr>
      </w:pPr>
    </w:p>
    <w:p w14:paraId="6FA52F15" w14:textId="1710A50D" w:rsidR="00BE21DA" w:rsidRPr="004E67C9" w:rsidRDefault="006256D3" w:rsidP="004E67C9">
      <w:pPr>
        <w:pStyle w:val="ListParagraph"/>
        <w:numPr>
          <w:ilvl w:val="0"/>
          <w:numId w:val="3"/>
        </w:numPr>
        <w:spacing w:after="0" w:line="240" w:lineRule="auto"/>
        <w:ind w:left="284"/>
        <w:jc w:val="both"/>
        <w:rPr>
          <w:rFonts w:ascii="Calibri Light" w:hAnsi="Calibri Light" w:cs="Calibri Light"/>
          <w:sz w:val="24"/>
          <w:szCs w:val="24"/>
        </w:rPr>
      </w:pPr>
      <w:r>
        <w:rPr>
          <w:rFonts w:ascii="Calibri Light" w:hAnsi="Calibri Light" w:cs="Calibri Light"/>
          <w:sz w:val="24"/>
          <w:szCs w:val="24"/>
        </w:rPr>
        <w:t>In some dioceses, p</w:t>
      </w:r>
      <w:r w:rsidR="00BE21DA" w:rsidRPr="004E67C9">
        <w:rPr>
          <w:rFonts w:ascii="Calibri Light" w:hAnsi="Calibri Light" w:cs="Calibri Light"/>
          <w:sz w:val="24"/>
          <w:szCs w:val="24"/>
        </w:rPr>
        <w:t>ublic ministry by a Reader is governed by the Working Agreement signed by each Mission</w:t>
      </w:r>
      <w:r>
        <w:rPr>
          <w:rFonts w:ascii="Calibri Light" w:hAnsi="Calibri Light" w:cs="Calibri Light"/>
          <w:sz w:val="24"/>
          <w:szCs w:val="24"/>
        </w:rPr>
        <w:t>/Ministry</w:t>
      </w:r>
      <w:r w:rsidR="00BE21DA" w:rsidRPr="004E67C9">
        <w:rPr>
          <w:rFonts w:ascii="Calibri Light" w:hAnsi="Calibri Light" w:cs="Calibri Light"/>
          <w:sz w:val="24"/>
          <w:szCs w:val="24"/>
        </w:rPr>
        <w:t xml:space="preserve"> Area Leader and </w:t>
      </w:r>
      <w:r>
        <w:rPr>
          <w:rFonts w:ascii="Calibri Light" w:hAnsi="Calibri Light" w:cs="Calibri Light"/>
          <w:sz w:val="24"/>
          <w:szCs w:val="24"/>
        </w:rPr>
        <w:t xml:space="preserve">the individual </w:t>
      </w:r>
      <w:r w:rsidR="00BE21DA" w:rsidRPr="004E67C9">
        <w:rPr>
          <w:rFonts w:ascii="Calibri Light" w:hAnsi="Calibri Light" w:cs="Calibri Light"/>
          <w:sz w:val="24"/>
          <w:szCs w:val="24"/>
        </w:rPr>
        <w:t>Licensed Lay Minister.</w:t>
      </w:r>
      <w:r w:rsidR="00150A94" w:rsidRPr="004E67C9">
        <w:rPr>
          <w:rFonts w:ascii="Calibri Light" w:hAnsi="Calibri Light" w:cs="Calibri Light"/>
          <w:sz w:val="24"/>
          <w:szCs w:val="24"/>
        </w:rPr>
        <w:t xml:space="preserve">  The Working Agreement should indicate how funeral ministry shall be exercised following the grant of a faculty.  All reasonable expenses of ministry should be eligible for reimbursement, and the protocols for this </w:t>
      </w:r>
      <w:r>
        <w:rPr>
          <w:rFonts w:ascii="Calibri Light" w:hAnsi="Calibri Light" w:cs="Calibri Light"/>
          <w:sz w:val="24"/>
          <w:szCs w:val="24"/>
        </w:rPr>
        <w:t>recorded</w:t>
      </w:r>
      <w:r w:rsidR="00150A94" w:rsidRPr="004E67C9">
        <w:rPr>
          <w:rFonts w:ascii="Calibri Light" w:hAnsi="Calibri Light" w:cs="Calibri Light"/>
          <w:sz w:val="24"/>
          <w:szCs w:val="24"/>
        </w:rPr>
        <w:t xml:space="preserve"> in the Working Agreement.</w:t>
      </w:r>
    </w:p>
    <w:p w14:paraId="0088FCF4" w14:textId="77777777" w:rsidR="00BE21DA" w:rsidRDefault="00BE21DA" w:rsidP="004E67C9">
      <w:pPr>
        <w:spacing w:after="0" w:line="240" w:lineRule="auto"/>
        <w:ind w:left="284"/>
      </w:pPr>
    </w:p>
    <w:p w14:paraId="0456CB2E" w14:textId="678663B0" w:rsidR="00BE21DA" w:rsidRPr="004E67C9" w:rsidRDefault="00150A94" w:rsidP="004E67C9">
      <w:pPr>
        <w:pStyle w:val="ListParagraph"/>
        <w:numPr>
          <w:ilvl w:val="0"/>
          <w:numId w:val="3"/>
        </w:numPr>
        <w:spacing w:after="0" w:line="240" w:lineRule="auto"/>
        <w:ind w:left="284"/>
        <w:jc w:val="both"/>
        <w:rPr>
          <w:rFonts w:ascii="Calibri Light" w:hAnsi="Calibri Light" w:cs="Calibri Light"/>
          <w:sz w:val="24"/>
          <w:szCs w:val="24"/>
        </w:rPr>
      </w:pPr>
      <w:r w:rsidRPr="004E67C9">
        <w:rPr>
          <w:rFonts w:ascii="Calibri Light" w:hAnsi="Calibri Light" w:cs="Calibri Light"/>
          <w:sz w:val="24"/>
          <w:szCs w:val="24"/>
        </w:rPr>
        <w:t>Readers</w:t>
      </w:r>
      <w:r w:rsidR="00BE21DA" w:rsidRPr="004E67C9">
        <w:rPr>
          <w:rFonts w:ascii="Calibri Light" w:hAnsi="Calibri Light" w:cs="Calibri Light"/>
          <w:sz w:val="24"/>
          <w:szCs w:val="24"/>
        </w:rPr>
        <w:t xml:space="preserve"> offer a voluntary and unpaid ministry, and </w:t>
      </w:r>
      <w:r w:rsidRPr="004E67C9">
        <w:rPr>
          <w:rFonts w:ascii="Calibri Light" w:hAnsi="Calibri Light" w:cs="Calibri Light"/>
          <w:sz w:val="24"/>
          <w:szCs w:val="24"/>
        </w:rPr>
        <w:t>should</w:t>
      </w:r>
      <w:r w:rsidR="00BE21DA" w:rsidRPr="004E67C9">
        <w:rPr>
          <w:rFonts w:ascii="Calibri Light" w:hAnsi="Calibri Light" w:cs="Calibri Light"/>
          <w:sz w:val="24"/>
          <w:szCs w:val="24"/>
        </w:rPr>
        <w:t xml:space="preserve"> not </w:t>
      </w:r>
      <w:r w:rsidRPr="004E67C9">
        <w:rPr>
          <w:rFonts w:ascii="Calibri Light" w:hAnsi="Calibri Light" w:cs="Calibri Light"/>
          <w:sz w:val="24"/>
          <w:szCs w:val="24"/>
        </w:rPr>
        <w:t>normally</w:t>
      </w:r>
      <w:r w:rsidR="00BE21DA" w:rsidRPr="004E67C9">
        <w:rPr>
          <w:rFonts w:ascii="Calibri Light" w:hAnsi="Calibri Light" w:cs="Calibri Light"/>
          <w:sz w:val="24"/>
          <w:szCs w:val="24"/>
        </w:rPr>
        <w:t xml:space="preserve"> </w:t>
      </w:r>
      <w:r w:rsidRPr="004E67C9">
        <w:rPr>
          <w:rFonts w:ascii="Calibri Light" w:hAnsi="Calibri Light" w:cs="Calibri Light"/>
          <w:sz w:val="24"/>
          <w:szCs w:val="24"/>
        </w:rPr>
        <w:t>receive</w:t>
      </w:r>
      <w:r w:rsidR="00BE21DA" w:rsidRPr="004E67C9">
        <w:rPr>
          <w:rFonts w:ascii="Calibri Light" w:hAnsi="Calibri Light" w:cs="Calibri Light"/>
          <w:sz w:val="24"/>
          <w:szCs w:val="24"/>
        </w:rPr>
        <w:t xml:space="preserve"> a fee for their services</w:t>
      </w:r>
      <w:r w:rsidRPr="004E67C9">
        <w:rPr>
          <w:rFonts w:ascii="Calibri Light" w:hAnsi="Calibri Light" w:cs="Calibri Light"/>
          <w:sz w:val="24"/>
          <w:szCs w:val="24"/>
        </w:rPr>
        <w:t>.  Instead, fees accrued for ministry will normally be expected to be paid into the diocese for the benefit of the Licensed Lay Ministers Association</w:t>
      </w:r>
      <w:r w:rsidR="006256D3">
        <w:rPr>
          <w:rFonts w:ascii="Calibri Light" w:hAnsi="Calibri Light" w:cs="Calibri Light"/>
          <w:sz w:val="24"/>
          <w:szCs w:val="24"/>
        </w:rPr>
        <w:t xml:space="preserve"> or other diocesan body</w:t>
      </w:r>
      <w:r w:rsidRPr="004E67C9">
        <w:rPr>
          <w:rFonts w:ascii="Calibri Light" w:hAnsi="Calibri Light" w:cs="Calibri Light"/>
          <w:sz w:val="24"/>
          <w:szCs w:val="24"/>
        </w:rPr>
        <w:t>.  However, given that a funeral may involve pastoral work before and after the service, as well as substantial effort in the conduct of a funeral service, discretion is given to Mission</w:t>
      </w:r>
      <w:r w:rsidR="006256D3">
        <w:rPr>
          <w:rFonts w:ascii="Calibri Light" w:hAnsi="Calibri Light" w:cs="Calibri Light"/>
          <w:sz w:val="24"/>
          <w:szCs w:val="24"/>
        </w:rPr>
        <w:t>/Ministry</w:t>
      </w:r>
      <w:r w:rsidRPr="004E67C9">
        <w:rPr>
          <w:rFonts w:ascii="Calibri Light" w:hAnsi="Calibri Light" w:cs="Calibri Light"/>
          <w:sz w:val="24"/>
          <w:szCs w:val="24"/>
        </w:rPr>
        <w:t xml:space="preserve"> Area Leaders, or inviting priest, to assign the fee payable for a funeral to the Reader conducting the funeral.</w:t>
      </w:r>
    </w:p>
    <w:p w14:paraId="3E3757AE" w14:textId="77777777" w:rsidR="00150A94" w:rsidRDefault="00150A94" w:rsidP="004E67C9">
      <w:pPr>
        <w:spacing w:after="0" w:line="240" w:lineRule="auto"/>
        <w:ind w:left="284"/>
        <w:jc w:val="both"/>
        <w:rPr>
          <w:rFonts w:ascii="Calibri Light" w:hAnsi="Calibri Light" w:cs="Calibri Light"/>
          <w:sz w:val="24"/>
          <w:szCs w:val="24"/>
        </w:rPr>
      </w:pPr>
    </w:p>
    <w:p w14:paraId="2F8B589E" w14:textId="4D2B3519" w:rsidR="00F16CD3" w:rsidRPr="004E67C9" w:rsidRDefault="00150A94" w:rsidP="00F16CD3">
      <w:pPr>
        <w:pStyle w:val="ListParagraph"/>
        <w:numPr>
          <w:ilvl w:val="0"/>
          <w:numId w:val="3"/>
        </w:numPr>
        <w:spacing w:after="0" w:line="240" w:lineRule="auto"/>
        <w:ind w:left="284"/>
        <w:jc w:val="both"/>
        <w:rPr>
          <w:rFonts w:ascii="Calibri Light" w:hAnsi="Calibri Light" w:cs="Calibri Light"/>
          <w:sz w:val="24"/>
          <w:szCs w:val="24"/>
        </w:rPr>
      </w:pPr>
      <w:r w:rsidRPr="004E67C9">
        <w:rPr>
          <w:rFonts w:ascii="Calibri Light" w:hAnsi="Calibri Light" w:cs="Calibri Light"/>
          <w:sz w:val="24"/>
          <w:szCs w:val="24"/>
        </w:rPr>
        <w:t xml:space="preserve">Since a Reader is authorised to exercise public ministry as a minister of the Church in Wales, a Reader will be expected to meet all the normal requirements for public ministry in the Church in Wales.  This includes </w:t>
      </w:r>
      <w:r w:rsidR="004E67C9" w:rsidRPr="004E67C9">
        <w:rPr>
          <w:rFonts w:ascii="Calibri Light" w:hAnsi="Calibri Light" w:cs="Calibri Light"/>
          <w:sz w:val="24"/>
          <w:szCs w:val="24"/>
        </w:rPr>
        <w:t xml:space="preserve">matters like DBS checks and Safeguarding Training, but also </w:t>
      </w:r>
      <w:r w:rsidRPr="004E67C9">
        <w:rPr>
          <w:rFonts w:ascii="Calibri Light" w:hAnsi="Calibri Light" w:cs="Calibri Light"/>
          <w:sz w:val="24"/>
          <w:szCs w:val="24"/>
        </w:rPr>
        <w:t xml:space="preserve">an obligation to use only those forms of service duly authorised in the </w:t>
      </w:r>
      <w:r w:rsidR="004E67C9" w:rsidRPr="004E67C9">
        <w:rPr>
          <w:rFonts w:ascii="Calibri Light" w:hAnsi="Calibri Light" w:cs="Calibri Light"/>
          <w:sz w:val="24"/>
          <w:szCs w:val="24"/>
        </w:rPr>
        <w:t xml:space="preserve">Church in Wales.  There is flexibility in the use of these services to vary the wording in minor ways and to add supplementary material (as in all services), but a Reader is not authorised to conduct wholly independently composed liturgies, or to act as </w:t>
      </w:r>
      <w:r w:rsidR="004E67C9">
        <w:rPr>
          <w:rFonts w:ascii="Calibri Light" w:hAnsi="Calibri Light" w:cs="Calibri Light"/>
          <w:sz w:val="24"/>
          <w:szCs w:val="24"/>
        </w:rPr>
        <w:t xml:space="preserve">a </w:t>
      </w:r>
      <w:r w:rsidR="004E67C9" w:rsidRPr="004E67C9">
        <w:rPr>
          <w:rFonts w:ascii="Calibri Light" w:hAnsi="Calibri Light" w:cs="Calibri Light"/>
          <w:sz w:val="24"/>
          <w:szCs w:val="24"/>
        </w:rPr>
        <w:t>secular celebrant.  Indeed, acting as a humanist or secular celebrant at funerals may well be in conflict with authorisation for ministry as a Reader, as it would be with all Christian ministers</w:t>
      </w:r>
      <w:r w:rsidR="004E67C9">
        <w:rPr>
          <w:rFonts w:ascii="Calibri Light" w:hAnsi="Calibri Light" w:cs="Calibri Light"/>
          <w:sz w:val="24"/>
          <w:szCs w:val="24"/>
        </w:rPr>
        <w:t>, and may lead to the Reader’s licence being revoked.</w:t>
      </w:r>
    </w:p>
    <w:sectPr w:rsidR="00F16CD3" w:rsidRPr="004E67C9" w:rsidSect="00D6100F">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CD29A1"/>
    <w:multiLevelType w:val="hybridMultilevel"/>
    <w:tmpl w:val="9B4651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040611"/>
    <w:multiLevelType w:val="hybridMultilevel"/>
    <w:tmpl w:val="A8D6B028"/>
    <w:lvl w:ilvl="0" w:tplc="F7A4ED5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182D4B"/>
    <w:multiLevelType w:val="hybridMultilevel"/>
    <w:tmpl w:val="3F08826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74546197">
    <w:abstractNumId w:val="1"/>
  </w:num>
  <w:num w:numId="2" w16cid:durableId="854463284">
    <w:abstractNumId w:val="2"/>
  </w:num>
  <w:num w:numId="3" w16cid:durableId="1099371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633"/>
    <w:rsid w:val="000E14C4"/>
    <w:rsid w:val="00150A94"/>
    <w:rsid w:val="00236C91"/>
    <w:rsid w:val="002A14A7"/>
    <w:rsid w:val="003A2C3F"/>
    <w:rsid w:val="004A1F4D"/>
    <w:rsid w:val="004E67C9"/>
    <w:rsid w:val="005137AA"/>
    <w:rsid w:val="0059350B"/>
    <w:rsid w:val="005D1F29"/>
    <w:rsid w:val="005F6539"/>
    <w:rsid w:val="006256D3"/>
    <w:rsid w:val="006608A5"/>
    <w:rsid w:val="007B4F13"/>
    <w:rsid w:val="008E4569"/>
    <w:rsid w:val="00963003"/>
    <w:rsid w:val="00A940D8"/>
    <w:rsid w:val="00AC7E60"/>
    <w:rsid w:val="00BE21DA"/>
    <w:rsid w:val="00BE7D04"/>
    <w:rsid w:val="00C32074"/>
    <w:rsid w:val="00C67813"/>
    <w:rsid w:val="00C84AF6"/>
    <w:rsid w:val="00D6100F"/>
    <w:rsid w:val="00D84B7C"/>
    <w:rsid w:val="00D90F8A"/>
    <w:rsid w:val="00E31E6C"/>
    <w:rsid w:val="00EA0633"/>
    <w:rsid w:val="00F16CD3"/>
    <w:rsid w:val="00F25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B05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84A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A06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0633"/>
    <w:rPr>
      <w:rFonts w:ascii="Tahoma" w:hAnsi="Tahoma" w:cs="Tahoma"/>
      <w:sz w:val="16"/>
      <w:szCs w:val="16"/>
    </w:rPr>
  </w:style>
  <w:style w:type="table" w:styleId="TableGrid">
    <w:name w:val="Table Grid"/>
    <w:basedOn w:val="TableNormal"/>
    <w:uiPriority w:val="59"/>
    <w:rsid w:val="00EA06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9350B"/>
    <w:pPr>
      <w:ind w:left="720"/>
      <w:contextualSpacing/>
    </w:pPr>
  </w:style>
  <w:style w:type="paragraph" w:customStyle="1" w:styleId="p1">
    <w:name w:val="p1"/>
    <w:basedOn w:val="Normal"/>
    <w:rsid w:val="00C67813"/>
    <w:pPr>
      <w:spacing w:after="0" w:line="240" w:lineRule="auto"/>
    </w:pPr>
    <w:rPr>
      <w:rFonts w:ascii="Helvetica Neue" w:hAnsi="Helvetica Neue" w:cs="Times New Roman"/>
      <w:color w:val="4D4D4D"/>
      <w:sz w:val="21"/>
      <w:szCs w:val="21"/>
      <w:lang w:val="en-US"/>
    </w:rPr>
  </w:style>
  <w:style w:type="character" w:customStyle="1" w:styleId="s1">
    <w:name w:val="s1"/>
    <w:basedOn w:val="DefaultParagraphFont"/>
    <w:rsid w:val="00C678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523525">
      <w:bodyDiv w:val="1"/>
      <w:marLeft w:val="0"/>
      <w:marRight w:val="0"/>
      <w:marTop w:val="0"/>
      <w:marBottom w:val="0"/>
      <w:divBdr>
        <w:top w:val="none" w:sz="0" w:space="0" w:color="auto"/>
        <w:left w:val="none" w:sz="0" w:space="0" w:color="auto"/>
        <w:bottom w:val="none" w:sz="0" w:space="0" w:color="auto"/>
        <w:right w:val="none" w:sz="0" w:space="0" w:color="auto"/>
      </w:divBdr>
    </w:div>
    <w:div w:id="1201629065">
      <w:bodyDiv w:val="1"/>
      <w:marLeft w:val="0"/>
      <w:marRight w:val="0"/>
      <w:marTop w:val="0"/>
      <w:marBottom w:val="0"/>
      <w:divBdr>
        <w:top w:val="none" w:sz="0" w:space="0" w:color="auto"/>
        <w:left w:val="none" w:sz="0" w:space="0" w:color="auto"/>
        <w:bottom w:val="none" w:sz="0" w:space="0" w:color="auto"/>
        <w:right w:val="none" w:sz="0" w:space="0" w:color="auto"/>
      </w:divBdr>
      <w:divsChild>
        <w:div w:id="583419283">
          <w:marLeft w:val="0"/>
          <w:marRight w:val="0"/>
          <w:marTop w:val="0"/>
          <w:marBottom w:val="0"/>
          <w:divBdr>
            <w:top w:val="none" w:sz="0" w:space="0" w:color="auto"/>
            <w:left w:val="none" w:sz="0" w:space="0" w:color="auto"/>
            <w:bottom w:val="none" w:sz="0" w:space="0" w:color="auto"/>
            <w:right w:val="none" w:sz="0" w:space="0" w:color="auto"/>
          </w:divBdr>
        </w:div>
        <w:div w:id="1117797499">
          <w:marLeft w:val="0"/>
          <w:marRight w:val="0"/>
          <w:marTop w:val="0"/>
          <w:marBottom w:val="0"/>
          <w:divBdr>
            <w:top w:val="none" w:sz="0" w:space="0" w:color="auto"/>
            <w:left w:val="none" w:sz="0" w:space="0" w:color="auto"/>
            <w:bottom w:val="none" w:sz="0" w:space="0" w:color="auto"/>
            <w:right w:val="none" w:sz="0" w:space="0" w:color="auto"/>
          </w:divBdr>
        </w:div>
        <w:div w:id="1637026327">
          <w:marLeft w:val="0"/>
          <w:marRight w:val="0"/>
          <w:marTop w:val="240"/>
          <w:marBottom w:val="240"/>
          <w:divBdr>
            <w:top w:val="none" w:sz="0" w:space="0" w:color="auto"/>
            <w:left w:val="none" w:sz="0" w:space="0" w:color="auto"/>
            <w:bottom w:val="none" w:sz="0" w:space="0" w:color="auto"/>
            <w:right w:val="none" w:sz="0" w:space="0" w:color="auto"/>
          </w:divBdr>
        </w:div>
        <w:div w:id="443161942">
          <w:marLeft w:val="0"/>
          <w:marRight w:val="0"/>
          <w:marTop w:val="240"/>
          <w:marBottom w:val="240"/>
          <w:divBdr>
            <w:top w:val="none" w:sz="0" w:space="0" w:color="auto"/>
            <w:left w:val="none" w:sz="0" w:space="0" w:color="auto"/>
            <w:bottom w:val="none" w:sz="0" w:space="0" w:color="auto"/>
            <w:right w:val="none" w:sz="0" w:space="0" w:color="auto"/>
          </w:divBdr>
        </w:div>
        <w:div w:id="155919695">
          <w:marLeft w:val="1800"/>
          <w:marRight w:val="0"/>
          <w:marTop w:val="24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2594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Gregory Cameron (Bishop)</cp:lastModifiedBy>
  <cp:revision>3</cp:revision>
  <cp:lastPrinted>2014-01-27T16:14:00Z</cp:lastPrinted>
  <dcterms:created xsi:type="dcterms:W3CDTF">2024-07-01T11:01:00Z</dcterms:created>
  <dcterms:modified xsi:type="dcterms:W3CDTF">2024-07-01T11:01:00Z</dcterms:modified>
</cp:coreProperties>
</file>